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D8AC" w14:textId="77777777" w:rsidR="001D37BF" w:rsidRDefault="001D37BF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</w:p>
    <w:p w14:paraId="4F310016" w14:textId="77777777" w:rsidR="001D37BF" w:rsidRDefault="001D37BF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</w:p>
    <w:p w14:paraId="1F7079D8" w14:textId="1D1F273D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3BD3" w14:textId="5D8CD3AF" w:rsidR="00EB48D7" w:rsidRPr="00720BC1" w:rsidRDefault="3432B210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  <w:r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UNC </w:t>
      </w:r>
      <w:r w:rsidR="00762B12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world view </w:t>
      </w:r>
      <w:r w:rsidR="009077BD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20</w:t>
      </w:r>
      <w:r w:rsidR="005C0D84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23</w:t>
      </w:r>
    </w:p>
    <w:p w14:paraId="03E6BD04" w14:textId="40508E10" w:rsidR="00BD1ECD" w:rsidRPr="00720BC1" w:rsidRDefault="00CC3EE5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PREPARING TOMORROW’S GLOBAL WORKFORCE</w:t>
      </w:r>
    </w:p>
    <w:p w14:paraId="4BB1CB5B" w14:textId="77777777" w:rsidR="00BD1ECD" w:rsidRPr="00720BC1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</w:p>
    <w:p w14:paraId="38FF2331" w14:textId="7E2BB6C9" w:rsidR="009874B2" w:rsidRPr="003234F2" w:rsidRDefault="00496F54" w:rsidP="00926F5F">
      <w:pPr>
        <w:jc w:val="center"/>
        <w:rPr>
          <w:b/>
          <w:bCs/>
          <w:color w:val="000000"/>
        </w:rPr>
      </w:pPr>
      <w:r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STUDY GUIDE for </w:t>
      </w:r>
      <w:r w:rsidR="009613D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10</w:t>
      </w:r>
      <w:r w:rsidR="00C87B7E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 </w:t>
      </w:r>
      <w:r w:rsidR="009077BD" w:rsidRPr="00720BC1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PDCH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1D6D8AC6" w14:textId="77777777" w:rsidTr="2B258929">
        <w:trPr>
          <w:trHeight w:val="437"/>
        </w:trPr>
        <w:tc>
          <w:tcPr>
            <w:tcW w:w="4675" w:type="dxa"/>
          </w:tcPr>
          <w:p w14:paraId="2EF5F2D5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77777777"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27A8501C" w14:textId="77777777" w:rsidTr="2B258929">
        <w:trPr>
          <w:trHeight w:val="437"/>
        </w:trPr>
        <w:tc>
          <w:tcPr>
            <w:tcW w:w="4675" w:type="dxa"/>
          </w:tcPr>
          <w:p w14:paraId="0E718262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14:paraId="33A3A2C6" w14:textId="77777777"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78065683" w14:textId="77777777" w:rsidTr="2B258929">
        <w:trPr>
          <w:trHeight w:val="4496"/>
        </w:trPr>
        <w:tc>
          <w:tcPr>
            <w:tcW w:w="10260" w:type="dxa"/>
            <w:gridSpan w:val="2"/>
          </w:tcPr>
          <w:p w14:paraId="7F161544" w14:textId="6205083E" w:rsidR="00BF4695" w:rsidRPr="00C32489" w:rsidRDefault="2E4A5120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 w:rsidRPr="2B25892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Instructions:</w:t>
            </w:r>
            <w:r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BF4695">
              <w:br/>
            </w:r>
            <w:r w:rsidR="6404EF69" w:rsidRPr="2B258929">
              <w:rPr>
                <w:rFonts w:asciiTheme="majorHAnsi" w:hAnsiTheme="majorHAnsi" w:cstheme="majorBidi"/>
                <w:sz w:val="23"/>
                <w:szCs w:val="23"/>
              </w:rPr>
              <w:t>You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have an opportunity to </w:t>
            </w:r>
            <w:r w:rsidR="00C87B7E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receive 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10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Professional Development Contact Hours (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>PDCH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)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for </w:t>
            </w:r>
            <w:r w:rsidR="468B513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attending 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>th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e UNC World View</w:t>
            </w:r>
            <w:r w:rsidR="00AB6A64">
              <w:rPr>
                <w:rFonts w:asciiTheme="majorHAnsi" w:hAnsiTheme="majorHAnsi" w:cstheme="majorBidi"/>
                <w:sz w:val="23"/>
                <w:szCs w:val="23"/>
              </w:rPr>
              <w:t xml:space="preserve"> 2023 Community College Symposium,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hyperlink r:id="rId9" w:history="1">
              <w:r w:rsidR="005C0D84" w:rsidRPr="005C0D84">
                <w:rPr>
                  <w:rStyle w:val="Hyperlink"/>
                  <w:rFonts w:asciiTheme="majorHAnsi" w:hAnsiTheme="majorHAnsi" w:cstheme="majorBidi"/>
                  <w:sz w:val="23"/>
                  <w:szCs w:val="23"/>
                </w:rPr>
                <w:t>Preparing Tomorrow’s Global Workforce</w:t>
              </w:r>
            </w:hyperlink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>. To do so,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you must</w:t>
            </w:r>
            <w:r w:rsidR="0042534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write a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>250-word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reflection on</w:t>
            </w:r>
            <w:r w:rsidR="004E183A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the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720BC1">
              <w:rPr>
                <w:rFonts w:asciiTheme="majorHAnsi" w:hAnsiTheme="majorHAnsi" w:cstheme="majorBidi"/>
                <w:sz w:val="23"/>
                <w:szCs w:val="23"/>
              </w:rPr>
              <w:t>symposium</w:t>
            </w:r>
            <w:r w:rsidR="000D55F7">
              <w:rPr>
                <w:rFonts w:asciiTheme="majorHAnsi" w:hAnsiTheme="majorHAnsi" w:cstheme="majorBidi"/>
                <w:sz w:val="23"/>
                <w:szCs w:val="23"/>
              </w:rPr>
              <w:t xml:space="preserve"> (</w:t>
            </w:r>
            <w:r w:rsidR="00AB6A64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0D55F7">
              <w:rPr>
                <w:rFonts w:asciiTheme="majorHAnsi" w:hAnsiTheme="majorHAnsi" w:cstheme="majorBidi"/>
                <w:sz w:val="23"/>
                <w:szCs w:val="23"/>
              </w:rPr>
              <w:t>ection I below)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In addition, you must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>complete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AB6A64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>ection I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I </w:t>
            </w:r>
            <w:r w:rsidR="615F12AE" w:rsidRPr="2B258929">
              <w:rPr>
                <w:rFonts w:asciiTheme="majorHAnsi" w:hAnsiTheme="majorHAnsi" w:cstheme="majorBidi"/>
                <w:sz w:val="23"/>
                <w:szCs w:val="23"/>
              </w:rPr>
              <w:t>below</w:t>
            </w:r>
            <w:r w:rsidR="00387575">
              <w:rPr>
                <w:rFonts w:asciiTheme="majorHAnsi" w:hAnsiTheme="majorHAnsi" w:cstheme="majorBidi"/>
                <w:sz w:val="23"/>
                <w:szCs w:val="23"/>
              </w:rPr>
              <w:t xml:space="preserve"> which includes reading </w:t>
            </w:r>
            <w:r w:rsidR="001D37BF">
              <w:rPr>
                <w:rFonts w:asciiTheme="majorHAnsi" w:hAnsiTheme="majorHAnsi" w:cstheme="majorBidi"/>
                <w:sz w:val="23"/>
                <w:szCs w:val="23"/>
              </w:rPr>
              <w:t>the article and</w:t>
            </w:r>
            <w:r w:rsidR="00387575">
              <w:rPr>
                <w:rFonts w:asciiTheme="majorHAnsi" w:hAnsiTheme="majorHAnsi" w:cstheme="majorBidi"/>
                <w:sz w:val="23"/>
                <w:szCs w:val="23"/>
              </w:rPr>
              <w:t xml:space="preserve"> answering the accompanying question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Please return completed study guide by </w:t>
            </w:r>
            <w:r w:rsidR="70F799B6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5:00 p.m. on </w:t>
            </w:r>
            <w:r w:rsidR="00720BC1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Monday, December </w:t>
            </w:r>
            <w:r w:rsidR="005C0D84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>11</w:t>
            </w:r>
            <w:proofErr w:type="gramStart"/>
            <w:r w:rsidR="00720BC1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202</w:t>
            </w:r>
            <w:r w:rsidR="005C0D84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>3</w:t>
            </w:r>
            <w:proofErr w:type="gramEnd"/>
            <w:r w:rsidR="134029BC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496F54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to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the </w:t>
            </w:r>
            <w:r w:rsidR="2652A263" w:rsidRPr="2B258929">
              <w:rPr>
                <w:rFonts w:asciiTheme="majorHAnsi" w:hAnsiTheme="majorHAnsi" w:cstheme="majorBidi"/>
                <w:sz w:val="23"/>
                <w:szCs w:val="23"/>
              </w:rPr>
              <w:t>UNC World View mailbox at worldview.unc.edu</w:t>
            </w:r>
          </w:p>
          <w:p w14:paraId="0D3ABC68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416E5C5D" w14:textId="761A2E87" w:rsidR="004F4EF1" w:rsidRPr="001D37BF" w:rsidRDefault="001174BD" w:rsidP="001D37B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AF76A8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32629B93" w14:textId="2ED66BCA" w:rsidR="00395177" w:rsidRPr="009D337B" w:rsidRDefault="0045729B" w:rsidP="006E6180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Klosk</w:t>
            </w:r>
            <w:proofErr w:type="spellEnd"/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="00EE36DD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R</w:t>
            </w:r>
            <w:r w:rsidR="001B7FCD" w:rsidRPr="009D337B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(20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22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82414A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Workforce Planning: Modeling </w:t>
            </w:r>
            <w:r w:rsidR="00AB6A64">
              <w:rPr>
                <w:rFonts w:asciiTheme="majorHAnsi" w:hAnsiTheme="majorHAnsi" w:cstheme="majorHAnsi"/>
                <w:sz w:val="23"/>
                <w:szCs w:val="23"/>
              </w:rPr>
              <w:t>th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 Workforce of Tomorrow Today</w:t>
            </w:r>
          </w:p>
          <w:p w14:paraId="0BF72083" w14:textId="77777777" w:rsidR="00395177" w:rsidRPr="009D337B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9D337B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395177" w:rsidRPr="009D337B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  <w:bookmarkStart w:id="0" w:name="_Hlk115680135"/>
          <w:p w14:paraId="0663E93D" w14:textId="3E28AB0F" w:rsidR="004D7099" w:rsidRDefault="0045729B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begin"/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>HYPERLINK "</w:instrText>
            </w:r>
            <w:r w:rsidRPr="0045729B">
              <w:rPr>
                <w:rFonts w:asciiTheme="majorHAnsi" w:hAnsiTheme="majorHAnsi" w:cstheme="majorHAnsi"/>
                <w:sz w:val="23"/>
                <w:szCs w:val="23"/>
              </w:rPr>
              <w:instrText>https://www.forbes.com/sites/forbeshumanresourcescouncil/2022/09/02/workforce-planning-modeling-the-workforce-of-tomorrow-today/?sh=6ecd704133ca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  <w:instrText>"</w:instrText>
            </w:r>
            <w:r>
              <w:rPr>
                <w:rFonts w:asciiTheme="majorHAnsi" w:hAnsiTheme="majorHAnsi" w:cstheme="majorHAnsi"/>
                <w:sz w:val="23"/>
                <w:szCs w:val="23"/>
              </w:rPr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Pr="002F4332">
              <w:rPr>
                <w:rStyle w:val="Hyperlink"/>
                <w:rFonts w:asciiTheme="majorHAnsi" w:hAnsiTheme="majorHAnsi" w:cstheme="majorHAnsi"/>
                <w:sz w:val="23"/>
                <w:szCs w:val="23"/>
              </w:rPr>
              <w:t>https://www.forbes.com/sites/forbeshumanresourcescouncil/2022/09/02/workforce-planning-modeling-the-workforce-of-tomorrow-today/?sh=6ecd704133ca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</w:p>
          <w:p w14:paraId="4E1C4E9D" w14:textId="77777777" w:rsidR="0045729B" w:rsidRDefault="0045729B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</w:p>
          <w:bookmarkEnd w:id="0"/>
          <w:p w14:paraId="22A6E75B" w14:textId="0FB3F8FE" w:rsidR="009D337B" w:rsidRPr="00C87B7E" w:rsidRDefault="009D337B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631D23B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605AF7F9" w14:textId="1A4569C3" w:rsidR="009E5603" w:rsidRPr="004E183A" w:rsidRDefault="009E5603" w:rsidP="00447F1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 xml:space="preserve">Section I: </w:t>
      </w:r>
      <w:r w:rsidR="00387575">
        <w:rPr>
          <w:rFonts w:asciiTheme="majorHAnsi" w:hAnsiTheme="majorHAnsi" w:cstheme="majorHAnsi"/>
          <w:b/>
          <w:sz w:val="23"/>
          <w:szCs w:val="23"/>
        </w:rPr>
        <w:t xml:space="preserve">UNC World View Community College Symposium </w:t>
      </w:r>
      <w:r w:rsidRPr="004E183A">
        <w:rPr>
          <w:rFonts w:asciiTheme="majorHAnsi" w:hAnsiTheme="majorHAnsi" w:cstheme="majorHAnsi"/>
          <w:b/>
          <w:sz w:val="23"/>
          <w:szCs w:val="23"/>
        </w:rPr>
        <w:t>Reflection</w:t>
      </w:r>
    </w:p>
    <w:p w14:paraId="1CE803CB" w14:textId="5DCE183C" w:rsidR="009E5603" w:rsidRDefault="009E5603" w:rsidP="2B258929">
      <w:pPr>
        <w:rPr>
          <w:rFonts w:asciiTheme="majorHAnsi" w:hAnsiTheme="majorHAnsi" w:cstheme="majorBidi"/>
          <w:b/>
          <w:bCs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Instructions</w:t>
      </w:r>
      <w:r w:rsidRPr="2B258929">
        <w:rPr>
          <w:rFonts w:asciiTheme="majorHAnsi" w:hAnsiTheme="majorHAnsi" w:cstheme="majorBidi"/>
          <w:b/>
          <w:bCs/>
        </w:rPr>
        <w:t xml:space="preserve">: </w:t>
      </w:r>
      <w:r w:rsidRPr="2B258929">
        <w:rPr>
          <w:rFonts w:asciiTheme="majorHAnsi" w:hAnsiTheme="majorHAnsi" w:cstheme="majorBidi"/>
          <w:sz w:val="23"/>
          <w:szCs w:val="23"/>
        </w:rPr>
        <w:t>Please write a brief</w:t>
      </w:r>
      <w:r w:rsidR="00AB6A64">
        <w:rPr>
          <w:rFonts w:asciiTheme="majorHAnsi" w:hAnsiTheme="majorHAnsi" w:cstheme="majorBidi"/>
          <w:sz w:val="23"/>
          <w:szCs w:val="23"/>
        </w:rPr>
        <w:t>,</w:t>
      </w:r>
      <w:r w:rsidRPr="2B258929">
        <w:rPr>
          <w:rFonts w:asciiTheme="majorHAnsi" w:hAnsiTheme="majorHAnsi" w:cstheme="majorBidi"/>
          <w:sz w:val="23"/>
          <w:szCs w:val="23"/>
        </w:rPr>
        <w:t xml:space="preserve"> 2</w:t>
      </w:r>
      <w:r w:rsidR="00B504D8" w:rsidRPr="2B258929">
        <w:rPr>
          <w:rFonts w:asciiTheme="majorHAnsi" w:hAnsiTheme="majorHAnsi" w:cstheme="majorBidi"/>
          <w:sz w:val="23"/>
          <w:szCs w:val="23"/>
        </w:rPr>
        <w:t>50</w:t>
      </w:r>
      <w:r w:rsidRPr="2B258929">
        <w:rPr>
          <w:rFonts w:asciiTheme="majorHAnsi" w:hAnsiTheme="majorHAnsi" w:cstheme="majorBidi"/>
          <w:sz w:val="23"/>
          <w:szCs w:val="23"/>
        </w:rPr>
        <w:t xml:space="preserve">-word reflection on the </w:t>
      </w:r>
      <w:r w:rsidR="00AB6A64">
        <w:rPr>
          <w:rFonts w:asciiTheme="majorHAnsi" w:hAnsiTheme="majorHAnsi" w:cstheme="majorBidi"/>
          <w:sz w:val="23"/>
          <w:szCs w:val="23"/>
        </w:rPr>
        <w:t>2023 C</w:t>
      </w:r>
      <w:r w:rsidR="00387575">
        <w:rPr>
          <w:rFonts w:asciiTheme="majorHAnsi" w:hAnsiTheme="majorHAnsi" w:cstheme="majorBidi"/>
          <w:sz w:val="23"/>
          <w:szCs w:val="23"/>
        </w:rPr>
        <w:t xml:space="preserve">ommunity </w:t>
      </w:r>
      <w:r w:rsidR="00AB6A64">
        <w:rPr>
          <w:rFonts w:asciiTheme="majorHAnsi" w:hAnsiTheme="majorHAnsi" w:cstheme="majorBidi"/>
          <w:sz w:val="23"/>
          <w:szCs w:val="23"/>
        </w:rPr>
        <w:t>C</w:t>
      </w:r>
      <w:r w:rsidR="00387575">
        <w:rPr>
          <w:rFonts w:asciiTheme="majorHAnsi" w:hAnsiTheme="majorHAnsi" w:cstheme="majorBidi"/>
          <w:sz w:val="23"/>
          <w:szCs w:val="23"/>
        </w:rPr>
        <w:t xml:space="preserve">ollege </w:t>
      </w:r>
      <w:r w:rsidR="00AB6A64">
        <w:rPr>
          <w:rFonts w:asciiTheme="majorHAnsi" w:hAnsiTheme="majorHAnsi" w:cstheme="majorBidi"/>
          <w:sz w:val="23"/>
          <w:szCs w:val="23"/>
        </w:rPr>
        <w:t>S</w:t>
      </w:r>
      <w:r w:rsidR="00EA1E63">
        <w:rPr>
          <w:rFonts w:asciiTheme="majorHAnsi" w:hAnsiTheme="majorHAnsi" w:cstheme="majorBidi"/>
          <w:sz w:val="23"/>
          <w:szCs w:val="23"/>
        </w:rPr>
        <w:t>ymposium</w:t>
      </w:r>
      <w:r w:rsidR="00AB6A64">
        <w:rPr>
          <w:rFonts w:asciiTheme="majorHAnsi" w:hAnsiTheme="majorHAnsi" w:cstheme="majorBidi"/>
          <w:sz w:val="23"/>
          <w:szCs w:val="23"/>
        </w:rPr>
        <w:t xml:space="preserve">, </w:t>
      </w:r>
      <w:r w:rsidR="00AF76A8">
        <w:rPr>
          <w:rFonts w:asciiTheme="majorHAnsi" w:hAnsiTheme="majorHAnsi" w:cstheme="majorBidi"/>
          <w:sz w:val="23"/>
          <w:szCs w:val="23"/>
        </w:rPr>
        <w:t>Preparing Tomorrow’s Global Workforce</w:t>
      </w:r>
      <w:r w:rsidRPr="2B258929">
        <w:rPr>
          <w:rFonts w:asciiTheme="majorHAnsi" w:hAnsiTheme="majorHAnsi" w:cstheme="majorBidi"/>
          <w:sz w:val="23"/>
          <w:szCs w:val="23"/>
        </w:rPr>
        <w:t xml:space="preserve">. </w:t>
      </w:r>
      <w:r w:rsidR="0042534D" w:rsidRPr="2B258929">
        <w:rPr>
          <w:rFonts w:asciiTheme="majorHAnsi" w:hAnsiTheme="majorHAnsi" w:cstheme="majorBidi"/>
          <w:sz w:val="23"/>
          <w:szCs w:val="23"/>
        </w:rPr>
        <w:t>In the reflection, please include</w:t>
      </w:r>
      <w:r w:rsidRPr="2B258929">
        <w:rPr>
          <w:rFonts w:asciiTheme="majorHAnsi" w:hAnsiTheme="majorHAnsi" w:cstheme="majorBidi"/>
          <w:sz w:val="23"/>
          <w:szCs w:val="23"/>
        </w:rPr>
        <w:t xml:space="preserve"> takeaw</w:t>
      </w:r>
      <w:r w:rsidR="00D70895" w:rsidRPr="2B258929">
        <w:rPr>
          <w:rFonts w:asciiTheme="majorHAnsi" w:hAnsiTheme="majorHAnsi" w:cstheme="majorBidi"/>
          <w:sz w:val="23"/>
          <w:szCs w:val="23"/>
        </w:rPr>
        <w:t>ay messages from the speakers</w:t>
      </w:r>
      <w:r w:rsidR="004F4EF1">
        <w:rPr>
          <w:rFonts w:asciiTheme="majorHAnsi" w:hAnsiTheme="majorHAnsi" w:cstheme="majorBidi"/>
          <w:sz w:val="23"/>
          <w:szCs w:val="23"/>
        </w:rPr>
        <w:t xml:space="preserve"> and panelists</w:t>
      </w:r>
      <w:r w:rsidR="00AB6A64">
        <w:rPr>
          <w:rFonts w:asciiTheme="majorHAnsi" w:hAnsiTheme="majorHAnsi" w:cstheme="majorBidi"/>
          <w:sz w:val="23"/>
          <w:szCs w:val="23"/>
        </w:rPr>
        <w:t>’</w:t>
      </w:r>
      <w:r w:rsidR="004F4EF1">
        <w:rPr>
          <w:rFonts w:asciiTheme="majorHAnsi" w:hAnsiTheme="majorHAnsi" w:cstheme="majorBidi"/>
          <w:sz w:val="23"/>
          <w:szCs w:val="23"/>
        </w:rPr>
        <w:t xml:space="preserve"> </w:t>
      </w:r>
      <w:r w:rsidR="00AF76A8">
        <w:rPr>
          <w:rFonts w:asciiTheme="majorHAnsi" w:hAnsiTheme="majorHAnsi" w:cstheme="majorBidi"/>
          <w:sz w:val="23"/>
          <w:szCs w:val="23"/>
        </w:rPr>
        <w:t xml:space="preserve">presentations </w:t>
      </w:r>
      <w:r w:rsidR="008B786A" w:rsidRPr="2B258929">
        <w:rPr>
          <w:rFonts w:asciiTheme="majorHAnsi" w:hAnsiTheme="majorHAnsi" w:cstheme="majorBidi"/>
          <w:sz w:val="23"/>
          <w:szCs w:val="23"/>
        </w:rPr>
        <w:t xml:space="preserve">and </w:t>
      </w:r>
      <w:r w:rsidR="00EF4D52" w:rsidRPr="2B258929">
        <w:rPr>
          <w:rFonts w:asciiTheme="majorHAnsi" w:hAnsiTheme="majorHAnsi" w:cstheme="majorBidi"/>
          <w:sz w:val="23"/>
          <w:szCs w:val="23"/>
        </w:rPr>
        <w:t xml:space="preserve">share </w:t>
      </w:r>
      <w:r w:rsidR="0042534D" w:rsidRPr="2B258929">
        <w:rPr>
          <w:rFonts w:asciiTheme="majorHAnsi" w:hAnsiTheme="majorHAnsi" w:cstheme="majorBidi"/>
          <w:sz w:val="23"/>
          <w:szCs w:val="23"/>
        </w:rPr>
        <w:t xml:space="preserve">how you </w:t>
      </w:r>
      <w:r w:rsidR="004F4EF1">
        <w:rPr>
          <w:rFonts w:asciiTheme="majorHAnsi" w:hAnsiTheme="majorHAnsi" w:cstheme="majorBidi"/>
          <w:sz w:val="23"/>
          <w:szCs w:val="23"/>
        </w:rPr>
        <w:t>plan to take the information back to your classroom and</w:t>
      </w:r>
      <w:r w:rsidR="00AF76A8">
        <w:rPr>
          <w:rFonts w:asciiTheme="majorHAnsi" w:hAnsiTheme="majorHAnsi" w:cstheme="majorBidi"/>
          <w:sz w:val="23"/>
          <w:szCs w:val="23"/>
        </w:rPr>
        <w:t xml:space="preserve">/or </w:t>
      </w:r>
      <w:r w:rsidR="00EF4D52" w:rsidRPr="2B258929">
        <w:rPr>
          <w:rFonts w:asciiTheme="majorHAnsi" w:hAnsiTheme="majorHAnsi" w:cstheme="majorBidi"/>
          <w:sz w:val="23"/>
          <w:szCs w:val="23"/>
        </w:rPr>
        <w:t>institution</w:t>
      </w:r>
      <w:r w:rsidR="00D70895" w:rsidRPr="2B258929">
        <w:rPr>
          <w:rFonts w:asciiTheme="majorHAnsi" w:hAnsiTheme="majorHAnsi" w:cstheme="majorBidi"/>
          <w:sz w:val="23"/>
          <w:szCs w:val="23"/>
        </w:rPr>
        <w:t>.</w:t>
      </w:r>
      <w:r w:rsidR="00D70895" w:rsidRPr="2B258929">
        <w:rPr>
          <w:rFonts w:asciiTheme="majorHAnsi" w:hAnsiTheme="majorHAnsi" w:cstheme="majorBidi"/>
        </w:rPr>
        <w:t xml:space="preserve"> </w:t>
      </w:r>
    </w:p>
    <w:p w14:paraId="0BE651A6" w14:textId="77777777" w:rsidR="009E5603" w:rsidRDefault="009E5603" w:rsidP="00447F11">
      <w:pPr>
        <w:rPr>
          <w:rFonts w:asciiTheme="majorHAnsi" w:hAnsiTheme="majorHAnsi" w:cstheme="majorHAnsi"/>
          <w:b/>
        </w:rPr>
      </w:pPr>
    </w:p>
    <w:p w14:paraId="6FC70710" w14:textId="558380EB" w:rsidR="0045729B" w:rsidRPr="001D37BF" w:rsidRDefault="00447F11" w:rsidP="00902E41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Section I</w:t>
      </w:r>
      <w:r w:rsidR="00D70895" w:rsidRPr="2B258929">
        <w:rPr>
          <w:rFonts w:asciiTheme="majorHAnsi" w:hAnsiTheme="majorHAnsi" w:cstheme="majorBidi"/>
          <w:b/>
          <w:bCs/>
          <w:sz w:val="23"/>
          <w:szCs w:val="23"/>
        </w:rPr>
        <w:t>I</w:t>
      </w: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: </w:t>
      </w:r>
      <w:r w:rsidR="00EF4D52" w:rsidRPr="2B258929">
        <w:rPr>
          <w:rFonts w:asciiTheme="majorHAnsi" w:hAnsiTheme="majorHAnsi" w:cstheme="majorBidi"/>
          <w:b/>
          <w:bCs/>
          <w:sz w:val="23"/>
          <w:szCs w:val="23"/>
        </w:rPr>
        <w:t>Reading</w:t>
      </w:r>
    </w:p>
    <w:p w14:paraId="79C1E2D5" w14:textId="7C3D31F7" w:rsidR="0045729B" w:rsidRPr="0045729B" w:rsidRDefault="0045729B" w:rsidP="0045729B">
      <w:pPr>
        <w:rPr>
          <w:rFonts w:cstheme="majorHAnsi"/>
          <w:b/>
          <w:bCs/>
          <w:sz w:val="23"/>
          <w:szCs w:val="23"/>
        </w:rPr>
      </w:pPr>
      <w:r w:rsidRPr="0045729B">
        <w:rPr>
          <w:rFonts w:asciiTheme="majorHAnsi" w:hAnsiTheme="majorHAnsi" w:cstheme="majorHAnsi"/>
          <w:b/>
          <w:bCs/>
          <w:sz w:val="23"/>
          <w:szCs w:val="23"/>
        </w:rPr>
        <w:t xml:space="preserve">Instructions: </w:t>
      </w:r>
      <w:r w:rsidRPr="0045729B">
        <w:rPr>
          <w:rFonts w:asciiTheme="majorHAnsi" w:hAnsiTheme="majorHAnsi" w:cstheme="majorHAnsi"/>
          <w:bCs/>
          <w:sz w:val="23"/>
          <w:szCs w:val="23"/>
        </w:rPr>
        <w:t xml:space="preserve">Read </w:t>
      </w:r>
      <w:r w:rsidR="00AB6A64" w:rsidRPr="00AB6A64">
        <w:rPr>
          <w:rFonts w:asciiTheme="majorHAnsi" w:hAnsiTheme="majorHAnsi" w:cstheme="majorHAnsi"/>
          <w:bCs/>
          <w:sz w:val="23"/>
          <w:szCs w:val="23"/>
        </w:rPr>
        <w:t>“</w:t>
      </w:r>
      <w:r w:rsidR="00387575" w:rsidRPr="00AB6A64">
        <w:rPr>
          <w:rFonts w:asciiTheme="majorHAnsi" w:hAnsiTheme="majorHAnsi" w:cstheme="majorBidi"/>
          <w:bCs/>
          <w:sz w:val="23"/>
          <w:szCs w:val="23"/>
        </w:rPr>
        <w:t xml:space="preserve">Workforce Planning: Modeling </w:t>
      </w:r>
      <w:r w:rsidR="005C45C9" w:rsidRPr="00AB6A64">
        <w:rPr>
          <w:rFonts w:asciiTheme="majorHAnsi" w:hAnsiTheme="majorHAnsi" w:cstheme="majorBidi"/>
          <w:bCs/>
          <w:sz w:val="23"/>
          <w:szCs w:val="23"/>
        </w:rPr>
        <w:t>the</w:t>
      </w:r>
      <w:r w:rsidR="00387575" w:rsidRPr="00AB6A64">
        <w:rPr>
          <w:rFonts w:asciiTheme="majorHAnsi" w:hAnsiTheme="majorHAnsi" w:cstheme="majorBidi"/>
          <w:bCs/>
          <w:sz w:val="23"/>
          <w:szCs w:val="23"/>
        </w:rPr>
        <w:t xml:space="preserve"> Workforce </w:t>
      </w:r>
      <w:r w:rsidR="00973420" w:rsidRPr="00AB6A64">
        <w:rPr>
          <w:rFonts w:asciiTheme="majorHAnsi" w:hAnsiTheme="majorHAnsi" w:cstheme="majorBidi"/>
          <w:bCs/>
          <w:sz w:val="23"/>
          <w:szCs w:val="23"/>
        </w:rPr>
        <w:t>of</w:t>
      </w:r>
      <w:r w:rsidR="00387575" w:rsidRPr="00AB6A64">
        <w:rPr>
          <w:rFonts w:asciiTheme="majorHAnsi" w:hAnsiTheme="majorHAnsi" w:cstheme="majorBidi"/>
          <w:bCs/>
          <w:sz w:val="23"/>
          <w:szCs w:val="23"/>
        </w:rPr>
        <w:t xml:space="preserve"> Tomorrow Today</w:t>
      </w:r>
      <w:r w:rsidR="00AB6A64" w:rsidRPr="00AB6A64">
        <w:rPr>
          <w:rFonts w:asciiTheme="majorHAnsi" w:hAnsiTheme="majorHAnsi" w:cstheme="majorBidi"/>
          <w:bCs/>
          <w:sz w:val="23"/>
          <w:szCs w:val="23"/>
        </w:rPr>
        <w:t>”</w:t>
      </w:r>
      <w:r w:rsidR="00AF76A8">
        <w:rPr>
          <w:rFonts w:asciiTheme="majorHAnsi" w:hAnsiTheme="majorHAnsi" w:cstheme="majorBidi"/>
          <w:b/>
          <w:bCs/>
          <w:sz w:val="23"/>
          <w:szCs w:val="23"/>
        </w:rPr>
        <w:t xml:space="preserve"> </w:t>
      </w:r>
      <w:r w:rsidRPr="0045729B">
        <w:rPr>
          <w:rFonts w:asciiTheme="majorHAnsi" w:hAnsiTheme="majorHAnsi" w:cstheme="majorHAnsi"/>
          <w:bCs/>
          <w:sz w:val="23"/>
          <w:szCs w:val="23"/>
        </w:rPr>
        <w:t>and answer the following question:</w:t>
      </w:r>
    </w:p>
    <w:p w14:paraId="042249FD" w14:textId="24BD7634" w:rsidR="002D0FBA" w:rsidRPr="00ED3325" w:rsidRDefault="00B34B87" w:rsidP="002D0FB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What are your overall reactions to the article? </w:t>
      </w:r>
      <w:r w:rsidR="00AB6A64">
        <w:rPr>
          <w:rFonts w:asciiTheme="majorHAnsi" w:hAnsiTheme="majorHAnsi" w:cstheme="majorHAnsi"/>
          <w:sz w:val="23"/>
          <w:szCs w:val="23"/>
        </w:rPr>
        <w:t>Which points were most salient given the scope of your work?</w:t>
      </w:r>
      <w:r w:rsidR="00EC5FD9">
        <w:rPr>
          <w:rFonts w:asciiTheme="majorHAnsi" w:hAnsiTheme="majorHAnsi" w:cstheme="majorHAnsi"/>
          <w:sz w:val="23"/>
          <w:szCs w:val="23"/>
        </w:rPr>
        <w:t xml:space="preserve"> </w:t>
      </w:r>
    </w:p>
    <w:sectPr w:rsidR="002D0FBA" w:rsidRPr="00ED3325" w:rsidSect="006828E1">
      <w:headerReference w:type="default" r:id="rId10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5B1C"/>
    <w:multiLevelType w:val="hybridMultilevel"/>
    <w:tmpl w:val="3A3A2170"/>
    <w:lvl w:ilvl="0" w:tplc="483CB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69F8"/>
    <w:multiLevelType w:val="hybridMultilevel"/>
    <w:tmpl w:val="4FE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285"/>
    <w:multiLevelType w:val="hybridMultilevel"/>
    <w:tmpl w:val="9ED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1262">
    <w:abstractNumId w:val="11"/>
  </w:num>
  <w:num w:numId="2" w16cid:durableId="8871092">
    <w:abstractNumId w:val="4"/>
  </w:num>
  <w:num w:numId="3" w16cid:durableId="1796483733">
    <w:abstractNumId w:val="10"/>
  </w:num>
  <w:num w:numId="4" w16cid:durableId="890847098">
    <w:abstractNumId w:val="5"/>
  </w:num>
  <w:num w:numId="5" w16cid:durableId="1769424992">
    <w:abstractNumId w:val="3"/>
  </w:num>
  <w:num w:numId="6" w16cid:durableId="1376931221">
    <w:abstractNumId w:val="6"/>
  </w:num>
  <w:num w:numId="7" w16cid:durableId="1734887192">
    <w:abstractNumId w:val="7"/>
  </w:num>
  <w:num w:numId="8" w16cid:durableId="1505973364">
    <w:abstractNumId w:val="17"/>
  </w:num>
  <w:num w:numId="9" w16cid:durableId="740831650">
    <w:abstractNumId w:val="2"/>
  </w:num>
  <w:num w:numId="10" w16cid:durableId="1982811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6648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145142">
    <w:abstractNumId w:val="16"/>
  </w:num>
  <w:num w:numId="13" w16cid:durableId="835998296">
    <w:abstractNumId w:val="14"/>
  </w:num>
  <w:num w:numId="14" w16cid:durableId="2104059945">
    <w:abstractNumId w:val="1"/>
  </w:num>
  <w:num w:numId="15" w16cid:durableId="1930001578">
    <w:abstractNumId w:val="12"/>
  </w:num>
  <w:num w:numId="16" w16cid:durableId="770011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67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013582">
    <w:abstractNumId w:val="0"/>
  </w:num>
  <w:num w:numId="19" w16cid:durableId="2109737467">
    <w:abstractNumId w:val="15"/>
  </w:num>
  <w:num w:numId="20" w16cid:durableId="1497838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864B6"/>
    <w:rsid w:val="000900FA"/>
    <w:rsid w:val="000B27B9"/>
    <w:rsid w:val="000C5F71"/>
    <w:rsid w:val="000D1E32"/>
    <w:rsid w:val="000D55F7"/>
    <w:rsid w:val="000D5E26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3CED"/>
    <w:rsid w:val="001549A8"/>
    <w:rsid w:val="00154E81"/>
    <w:rsid w:val="0016003E"/>
    <w:rsid w:val="001605C5"/>
    <w:rsid w:val="00161CEE"/>
    <w:rsid w:val="00193289"/>
    <w:rsid w:val="001B48CB"/>
    <w:rsid w:val="001B7FCD"/>
    <w:rsid w:val="001C3CE2"/>
    <w:rsid w:val="001C4BEB"/>
    <w:rsid w:val="001D3282"/>
    <w:rsid w:val="001D37BF"/>
    <w:rsid w:val="001D38BC"/>
    <w:rsid w:val="001D7545"/>
    <w:rsid w:val="001E15ED"/>
    <w:rsid w:val="001F5798"/>
    <w:rsid w:val="001F7098"/>
    <w:rsid w:val="00200C3B"/>
    <w:rsid w:val="002122EC"/>
    <w:rsid w:val="002165AF"/>
    <w:rsid w:val="002263E4"/>
    <w:rsid w:val="00233917"/>
    <w:rsid w:val="0023664C"/>
    <w:rsid w:val="00240023"/>
    <w:rsid w:val="00245508"/>
    <w:rsid w:val="00254158"/>
    <w:rsid w:val="0029404E"/>
    <w:rsid w:val="002D0FBA"/>
    <w:rsid w:val="002E58DD"/>
    <w:rsid w:val="002F1702"/>
    <w:rsid w:val="002F3F1F"/>
    <w:rsid w:val="002F47F6"/>
    <w:rsid w:val="002F7D9A"/>
    <w:rsid w:val="003234F2"/>
    <w:rsid w:val="0032685D"/>
    <w:rsid w:val="00335C3C"/>
    <w:rsid w:val="00347910"/>
    <w:rsid w:val="00354D30"/>
    <w:rsid w:val="00357E19"/>
    <w:rsid w:val="00370E65"/>
    <w:rsid w:val="003727AC"/>
    <w:rsid w:val="00380F64"/>
    <w:rsid w:val="00387575"/>
    <w:rsid w:val="00393A17"/>
    <w:rsid w:val="00395177"/>
    <w:rsid w:val="00396374"/>
    <w:rsid w:val="003A4157"/>
    <w:rsid w:val="003B0F78"/>
    <w:rsid w:val="003B6F9D"/>
    <w:rsid w:val="003C133E"/>
    <w:rsid w:val="003C1598"/>
    <w:rsid w:val="003D4181"/>
    <w:rsid w:val="003E1C35"/>
    <w:rsid w:val="003F763E"/>
    <w:rsid w:val="0040516C"/>
    <w:rsid w:val="00415EEA"/>
    <w:rsid w:val="004204D8"/>
    <w:rsid w:val="0042534D"/>
    <w:rsid w:val="00447F11"/>
    <w:rsid w:val="004506B3"/>
    <w:rsid w:val="00456436"/>
    <w:rsid w:val="0045729B"/>
    <w:rsid w:val="004602BB"/>
    <w:rsid w:val="0046411D"/>
    <w:rsid w:val="004779D8"/>
    <w:rsid w:val="00490074"/>
    <w:rsid w:val="004938AF"/>
    <w:rsid w:val="00496F54"/>
    <w:rsid w:val="004A55D7"/>
    <w:rsid w:val="004B1E19"/>
    <w:rsid w:val="004C68A6"/>
    <w:rsid w:val="004D36CE"/>
    <w:rsid w:val="004D7099"/>
    <w:rsid w:val="004E17EE"/>
    <w:rsid w:val="004E183A"/>
    <w:rsid w:val="004F4EF1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C0D84"/>
    <w:rsid w:val="005C1AD3"/>
    <w:rsid w:val="005C45C9"/>
    <w:rsid w:val="005C5B4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20BC1"/>
    <w:rsid w:val="007479A4"/>
    <w:rsid w:val="00754413"/>
    <w:rsid w:val="00760F1F"/>
    <w:rsid w:val="00762B12"/>
    <w:rsid w:val="007867FF"/>
    <w:rsid w:val="00795F35"/>
    <w:rsid w:val="007B5FB7"/>
    <w:rsid w:val="007D0DBD"/>
    <w:rsid w:val="007D7C0C"/>
    <w:rsid w:val="007E06A9"/>
    <w:rsid w:val="007E2AC5"/>
    <w:rsid w:val="007F267F"/>
    <w:rsid w:val="008045D5"/>
    <w:rsid w:val="00815F13"/>
    <w:rsid w:val="0081631B"/>
    <w:rsid w:val="008166CA"/>
    <w:rsid w:val="0082414A"/>
    <w:rsid w:val="008263BF"/>
    <w:rsid w:val="00833F62"/>
    <w:rsid w:val="008419A7"/>
    <w:rsid w:val="0085071C"/>
    <w:rsid w:val="0085529F"/>
    <w:rsid w:val="008616DD"/>
    <w:rsid w:val="0088100D"/>
    <w:rsid w:val="008A3F55"/>
    <w:rsid w:val="008A63D6"/>
    <w:rsid w:val="008B786A"/>
    <w:rsid w:val="008E19A3"/>
    <w:rsid w:val="008F597F"/>
    <w:rsid w:val="00902E41"/>
    <w:rsid w:val="009065C7"/>
    <w:rsid w:val="009077BD"/>
    <w:rsid w:val="00907A8B"/>
    <w:rsid w:val="00914EF0"/>
    <w:rsid w:val="00923F09"/>
    <w:rsid w:val="00924A7F"/>
    <w:rsid w:val="00926F5F"/>
    <w:rsid w:val="00947352"/>
    <w:rsid w:val="00954244"/>
    <w:rsid w:val="00954704"/>
    <w:rsid w:val="009613D1"/>
    <w:rsid w:val="009615CA"/>
    <w:rsid w:val="00973420"/>
    <w:rsid w:val="00974AED"/>
    <w:rsid w:val="00981B42"/>
    <w:rsid w:val="009874B2"/>
    <w:rsid w:val="009A6DA1"/>
    <w:rsid w:val="009B0051"/>
    <w:rsid w:val="009C11C8"/>
    <w:rsid w:val="009D1737"/>
    <w:rsid w:val="009D337B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2B75"/>
    <w:rsid w:val="00A74AC3"/>
    <w:rsid w:val="00A82BE7"/>
    <w:rsid w:val="00A83B87"/>
    <w:rsid w:val="00A879A8"/>
    <w:rsid w:val="00A9067E"/>
    <w:rsid w:val="00AB3C29"/>
    <w:rsid w:val="00AB622F"/>
    <w:rsid w:val="00AB6A64"/>
    <w:rsid w:val="00AC55D8"/>
    <w:rsid w:val="00AD1744"/>
    <w:rsid w:val="00AD1CDD"/>
    <w:rsid w:val="00AD6E48"/>
    <w:rsid w:val="00AE4D8B"/>
    <w:rsid w:val="00AF4E66"/>
    <w:rsid w:val="00AF763D"/>
    <w:rsid w:val="00AF76A8"/>
    <w:rsid w:val="00AF7971"/>
    <w:rsid w:val="00B04F4B"/>
    <w:rsid w:val="00B10462"/>
    <w:rsid w:val="00B129D0"/>
    <w:rsid w:val="00B34B87"/>
    <w:rsid w:val="00B504D8"/>
    <w:rsid w:val="00B52730"/>
    <w:rsid w:val="00B636C4"/>
    <w:rsid w:val="00B64FB9"/>
    <w:rsid w:val="00B72573"/>
    <w:rsid w:val="00B80691"/>
    <w:rsid w:val="00B90BFC"/>
    <w:rsid w:val="00B91877"/>
    <w:rsid w:val="00BA0E06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3EE5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A7340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A1E63"/>
    <w:rsid w:val="00EA716B"/>
    <w:rsid w:val="00EB2311"/>
    <w:rsid w:val="00EB48D7"/>
    <w:rsid w:val="00EB76C3"/>
    <w:rsid w:val="00EC5FD9"/>
    <w:rsid w:val="00ED3325"/>
    <w:rsid w:val="00EE36DD"/>
    <w:rsid w:val="00EF16D4"/>
    <w:rsid w:val="00EF4D52"/>
    <w:rsid w:val="00EF5A30"/>
    <w:rsid w:val="00F11376"/>
    <w:rsid w:val="00F12833"/>
    <w:rsid w:val="00F17616"/>
    <w:rsid w:val="00F20D88"/>
    <w:rsid w:val="00F275C7"/>
    <w:rsid w:val="00F303C1"/>
    <w:rsid w:val="00F35A69"/>
    <w:rsid w:val="00F5300E"/>
    <w:rsid w:val="00F61A47"/>
    <w:rsid w:val="00F71E43"/>
    <w:rsid w:val="00F72510"/>
    <w:rsid w:val="00F96E9C"/>
    <w:rsid w:val="00F97811"/>
    <w:rsid w:val="00FC14B0"/>
    <w:rsid w:val="00FD1691"/>
    <w:rsid w:val="00FE7A5E"/>
    <w:rsid w:val="0A9124D0"/>
    <w:rsid w:val="134029BC"/>
    <w:rsid w:val="1CC33CC2"/>
    <w:rsid w:val="232CA7A7"/>
    <w:rsid w:val="2652A263"/>
    <w:rsid w:val="2848BB49"/>
    <w:rsid w:val="2B258929"/>
    <w:rsid w:val="2E4A5120"/>
    <w:rsid w:val="2F39C78E"/>
    <w:rsid w:val="3432B210"/>
    <w:rsid w:val="36A1A561"/>
    <w:rsid w:val="3F9CB460"/>
    <w:rsid w:val="42CAC062"/>
    <w:rsid w:val="468B5133"/>
    <w:rsid w:val="4AEFABB4"/>
    <w:rsid w:val="50991F7E"/>
    <w:rsid w:val="513F9538"/>
    <w:rsid w:val="548D63F7"/>
    <w:rsid w:val="614A7535"/>
    <w:rsid w:val="615F12AE"/>
    <w:rsid w:val="63A7D2FD"/>
    <w:rsid w:val="6404EF69"/>
    <w:rsid w:val="6BD51F28"/>
    <w:rsid w:val="70F799B6"/>
    <w:rsid w:val="731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ldview.unc.edu/programs/preparing-tomorrows-global-workforce-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Andrew, Hazael</cp:lastModifiedBy>
  <cp:revision>2</cp:revision>
  <cp:lastPrinted>2023-10-04T15:24:00Z</cp:lastPrinted>
  <dcterms:created xsi:type="dcterms:W3CDTF">2023-11-08T23:53:00Z</dcterms:created>
  <dcterms:modified xsi:type="dcterms:W3CDTF">2023-11-08T23:53:00Z</dcterms:modified>
</cp:coreProperties>
</file>